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729B57D7" wp14:editId="4C85D122">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CA58DB">
            <w:pPr>
              <w:rPr>
                <w:rFonts w:ascii="Arial" w:hAnsi="Arial"/>
              </w:rPr>
            </w:pPr>
            <w:r>
              <w:rPr>
                <w:rFonts w:ascii="Arial" w:hAnsi="Arial"/>
              </w:rPr>
              <w:t>Fall/Winter</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381BD7">
              <w:rPr>
                <w:rFonts w:ascii="Arial" w:hAnsi="Arial"/>
              </w:rPr>
              <w:t>5</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w:t>
            </w:r>
            <w:r w:rsidR="00381BD7">
              <w:rPr>
                <w:rFonts w:ascii="Arial" w:hAnsi="Arial"/>
              </w:rPr>
              <w:t>4</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CA58DB">
            <w:pPr>
              <w:jc w:val="center"/>
              <w:rPr>
                <w:rFonts w:ascii="Arial" w:hAnsi="Arial"/>
              </w:rPr>
            </w:pPr>
            <w:r>
              <w:t>‘Angelique Lemay’</w:t>
            </w:r>
          </w:p>
        </w:tc>
        <w:tc>
          <w:tcPr>
            <w:tcW w:w="1350" w:type="dxa"/>
          </w:tcPr>
          <w:p w:rsidR="00127ACC" w:rsidRDefault="00CA58DB">
            <w:pPr>
              <w:rPr>
                <w:rFonts w:ascii="Arial" w:hAnsi="Arial"/>
              </w:rPr>
            </w:pPr>
            <w:r>
              <w:rPr>
                <w:rFonts w:ascii="Arial" w:hAnsi="Arial"/>
              </w:rPr>
              <w:t>June/15</w:t>
            </w: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381BD7" w:rsidTr="00573AA8">
        <w:trPr>
          <w:cantSplit/>
        </w:trPr>
        <w:tc>
          <w:tcPr>
            <w:tcW w:w="9018" w:type="dxa"/>
            <w:gridSpan w:val="6"/>
          </w:tcPr>
          <w:p w:rsidR="00381BD7" w:rsidRDefault="00381BD7" w:rsidP="00651C11">
            <w:pPr>
              <w:pStyle w:val="Heading2"/>
              <w:tabs>
                <w:tab w:val="center" w:pos="4560"/>
              </w:tabs>
              <w:rPr>
                <w:rFonts w:ascii="Arial" w:hAnsi="Arial" w:cs="Arial"/>
                <w:sz w:val="20"/>
              </w:rPr>
            </w:pPr>
          </w:p>
          <w:p w:rsidR="00381BD7" w:rsidRPr="000D0CBA" w:rsidRDefault="00381BD7" w:rsidP="00651C11">
            <w:pPr>
              <w:pStyle w:val="Heading2"/>
              <w:tabs>
                <w:tab w:val="center" w:pos="4560"/>
              </w:tabs>
              <w:rPr>
                <w:rFonts w:ascii="Arial" w:hAnsi="Arial" w:cs="Arial"/>
                <w:sz w:val="20"/>
              </w:rPr>
            </w:pPr>
            <w:r>
              <w:rPr>
                <w:rFonts w:ascii="Arial" w:hAnsi="Arial" w:cs="Arial"/>
                <w:sz w:val="20"/>
              </w:rPr>
              <w:t xml:space="preserve">Copyright ©2015 </w:t>
            </w:r>
            <w:r w:rsidRPr="000D0CBA">
              <w:rPr>
                <w:rFonts w:ascii="Arial" w:hAnsi="Arial" w:cs="Arial"/>
                <w:sz w:val="20"/>
              </w:rPr>
              <w:t>Sault College of Applied Arts &amp; Technology</w:t>
            </w:r>
          </w:p>
          <w:p w:rsidR="00381BD7" w:rsidRPr="000D0CBA" w:rsidRDefault="00381BD7"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381BD7" w:rsidRPr="000D0CBA" w:rsidRDefault="00381BD7" w:rsidP="00651C11">
            <w:pPr>
              <w:pStyle w:val="Heading2"/>
              <w:tabs>
                <w:tab w:val="center" w:pos="4560"/>
              </w:tabs>
              <w:rPr>
                <w:rFonts w:ascii="Arial" w:hAnsi="Arial" w:cs="Arial"/>
                <w:b w:val="0"/>
                <w:bCs/>
                <w:sz w:val="20"/>
              </w:rPr>
            </w:pPr>
            <w:proofErr w:type="gramStart"/>
            <w:r w:rsidRPr="000D0CBA">
              <w:rPr>
                <w:rFonts w:ascii="Arial" w:hAnsi="Arial" w:cs="Arial"/>
                <w:b w:val="0"/>
                <w:bCs/>
                <w:i/>
                <w:iCs/>
                <w:sz w:val="20"/>
              </w:rPr>
              <w:t>written</w:t>
            </w:r>
            <w:proofErr w:type="gramEnd"/>
            <w:r w:rsidRPr="000D0CBA">
              <w:rPr>
                <w:rFonts w:ascii="Arial" w:hAnsi="Arial" w:cs="Arial"/>
                <w:b w:val="0"/>
                <w:bCs/>
                <w:i/>
                <w:iCs/>
                <w:sz w:val="20"/>
              </w:rPr>
              <w:t xml:space="preserve"> permission of Sault College of Applied Arts &amp; Technology is prohibited.</w:t>
            </w:r>
          </w:p>
        </w:tc>
      </w:tr>
      <w:tr w:rsidR="00381BD7" w:rsidTr="00573AA8">
        <w:trPr>
          <w:cantSplit/>
        </w:trPr>
        <w:tc>
          <w:tcPr>
            <w:tcW w:w="9018" w:type="dxa"/>
            <w:gridSpan w:val="6"/>
          </w:tcPr>
          <w:p w:rsidR="00381BD7" w:rsidRPr="000D0CBA" w:rsidRDefault="00381BD7"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p>
        </w:tc>
      </w:tr>
      <w:tr w:rsidR="00381BD7" w:rsidTr="00573AA8">
        <w:trPr>
          <w:cantSplit/>
        </w:trPr>
        <w:tc>
          <w:tcPr>
            <w:tcW w:w="9018" w:type="dxa"/>
            <w:gridSpan w:val="6"/>
          </w:tcPr>
          <w:p w:rsidR="00381BD7" w:rsidRPr="00270A59" w:rsidRDefault="00CA58DB" w:rsidP="00651C11">
            <w:pPr>
              <w:tabs>
                <w:tab w:val="center" w:pos="4560"/>
              </w:tabs>
              <w:jc w:val="center"/>
              <w:rPr>
                <w:rFonts w:ascii="Arial" w:hAnsi="Arial" w:cs="Arial"/>
                <w:i/>
                <w:iCs/>
                <w:sz w:val="20"/>
                <w:lang w:val="en-GB"/>
              </w:rPr>
            </w:pPr>
            <w:r w:rsidRPr="00CA58DB">
              <w:rPr>
                <w:rFonts w:ascii="Arial" w:hAnsi="Arial" w:cs="Arial"/>
                <w:i/>
                <w:sz w:val="20"/>
                <w:szCs w:val="22"/>
                <w:lang w:val="en-GB"/>
              </w:rPr>
              <w:t>School of Community Services, Interdisciplinary Studies, Curriculum &amp; Faculty Enrichment.</w:t>
            </w:r>
          </w:p>
        </w:tc>
      </w:tr>
      <w:tr w:rsidR="00381BD7" w:rsidTr="00573AA8">
        <w:trPr>
          <w:cantSplit/>
        </w:trPr>
        <w:tc>
          <w:tcPr>
            <w:tcW w:w="9018" w:type="dxa"/>
            <w:gridSpan w:val="6"/>
          </w:tcPr>
          <w:p w:rsidR="00381BD7" w:rsidRDefault="00381BD7"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381BD7" w:rsidRPr="000D0CBA" w:rsidRDefault="00381BD7" w:rsidP="00651C11">
            <w:pPr>
              <w:tabs>
                <w:tab w:val="center" w:pos="4560"/>
              </w:tabs>
              <w:jc w:val="center"/>
              <w:rPr>
                <w:rFonts w:ascii="Arial" w:hAnsi="Arial" w:cs="Arial"/>
                <w:i/>
                <w:iCs/>
                <w:sz w:val="20"/>
                <w:lang w:val="en-GB"/>
              </w:rPr>
            </w:pP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lastRenderedPageBreak/>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rsidP="00381BD7">
            <w:pP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p w:rsidR="00CA58DB" w:rsidRDefault="00CA58DB">
      <w:pPr>
        <w:rPr>
          <w:rFonts w:ascii="Arial" w:hAnsi="Arial"/>
        </w:rPr>
      </w:pPr>
    </w:p>
    <w:p w:rsidR="00CA58DB" w:rsidRDefault="00CA58DB" w:rsidP="00CA58DB">
      <w:pPr>
        <w:pStyle w:val="ListParagraph"/>
        <w:tabs>
          <w:tab w:val="left" w:pos="360"/>
        </w:tabs>
        <w:ind w:left="360"/>
        <w:rPr>
          <w:rFonts w:ascii="Arial" w:hAnsi="Arial" w:cs="Arial"/>
          <w:sz w:val="22"/>
          <w:szCs w:val="22"/>
        </w:rPr>
      </w:pPr>
      <w:r>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CA58DB" w:rsidRDefault="00CA58DB">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381BD7" w:rsidP="00274AAD">
            <w:pPr>
              <w:rPr>
                <w:rFonts w:ascii="Arial" w:hAnsi="Arial"/>
              </w:rPr>
            </w:pPr>
            <w:r>
              <w:rPr>
                <w:rFonts w:ascii="Arial" w:hAnsi="Arial"/>
              </w:rPr>
              <w:t>The provisions contained in the addendum located in D2L and on the portal form part of this course outline.</w:t>
            </w:r>
          </w:p>
        </w:tc>
      </w:tr>
    </w:tbl>
    <w:p w:rsidR="00127ACC" w:rsidRDefault="00127ACC">
      <w:pPr>
        <w:pStyle w:val="EnvelopeReturn"/>
      </w:pPr>
      <w:bookmarkStart w:id="0" w:name="_GoBack"/>
      <w:bookmarkEnd w:id="0"/>
    </w:p>
    <w:sectPr w:rsidR="00127ACC" w:rsidSect="00C917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DD" w:rsidRDefault="005F49DD">
      <w:r>
        <w:separator/>
      </w:r>
    </w:p>
  </w:endnote>
  <w:endnote w:type="continuationSeparator" w:id="0">
    <w:p w:rsidR="005F49DD" w:rsidRDefault="005F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DD" w:rsidRDefault="005F49DD">
      <w:r>
        <w:separator/>
      </w:r>
    </w:p>
  </w:footnote>
  <w:footnote w:type="continuationSeparator" w:id="0">
    <w:p w:rsidR="005F49DD" w:rsidRDefault="005F4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CA58D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F2453"/>
    <w:rsid w:val="002109E4"/>
    <w:rsid w:val="002638A2"/>
    <w:rsid w:val="002741A7"/>
    <w:rsid w:val="00274AAD"/>
    <w:rsid w:val="002C2C51"/>
    <w:rsid w:val="002F60D0"/>
    <w:rsid w:val="00337993"/>
    <w:rsid w:val="00381BD7"/>
    <w:rsid w:val="003D75F0"/>
    <w:rsid w:val="00406AB2"/>
    <w:rsid w:val="00427688"/>
    <w:rsid w:val="004A0C14"/>
    <w:rsid w:val="004D7E5D"/>
    <w:rsid w:val="004F307B"/>
    <w:rsid w:val="00573AA8"/>
    <w:rsid w:val="0058469E"/>
    <w:rsid w:val="005979E7"/>
    <w:rsid w:val="005F49DD"/>
    <w:rsid w:val="005F73CE"/>
    <w:rsid w:val="00637F7D"/>
    <w:rsid w:val="006C431B"/>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12F3B"/>
    <w:rsid w:val="00B64834"/>
    <w:rsid w:val="00BC55B4"/>
    <w:rsid w:val="00C33674"/>
    <w:rsid w:val="00C9174B"/>
    <w:rsid w:val="00CA58DB"/>
    <w:rsid w:val="00CC22A4"/>
    <w:rsid w:val="00D515C5"/>
    <w:rsid w:val="00D7697E"/>
    <w:rsid w:val="00D8370A"/>
    <w:rsid w:val="00D9256F"/>
    <w:rsid w:val="00E91396"/>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link w:val="Heading2Char"/>
    <w:uiPriority w:val="99"/>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 w:type="character" w:customStyle="1" w:styleId="Heading2Char">
    <w:name w:val="Heading 2 Char"/>
    <w:basedOn w:val="DefaultParagraphFont"/>
    <w:link w:val="Heading2"/>
    <w:uiPriority w:val="99"/>
    <w:rsid w:val="00381BD7"/>
    <w:rPr>
      <w:b/>
      <w:sz w:val="24"/>
      <w:lang w:val="en-GB" w:eastAsia="en-US"/>
    </w:rPr>
  </w:style>
  <w:style w:type="paragraph" w:styleId="ListParagraph">
    <w:name w:val="List Paragraph"/>
    <w:basedOn w:val="Normal"/>
    <w:uiPriority w:val="34"/>
    <w:qFormat/>
    <w:rsid w:val="00CA58DB"/>
    <w:pPr>
      <w:ind w:left="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link w:val="Heading2Char"/>
    <w:uiPriority w:val="99"/>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 w:type="character" w:customStyle="1" w:styleId="Heading2Char">
    <w:name w:val="Heading 2 Char"/>
    <w:basedOn w:val="DefaultParagraphFont"/>
    <w:link w:val="Heading2"/>
    <w:uiPriority w:val="99"/>
    <w:rsid w:val="00381BD7"/>
    <w:rPr>
      <w:b/>
      <w:sz w:val="24"/>
      <w:lang w:val="en-GB" w:eastAsia="en-US"/>
    </w:rPr>
  </w:style>
  <w:style w:type="paragraph" w:styleId="ListParagraph">
    <w:name w:val="List Paragraph"/>
    <w:basedOn w:val="Normal"/>
    <w:uiPriority w:val="34"/>
    <w:qFormat/>
    <w:rsid w:val="00CA58DB"/>
    <w:pPr>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 w:id="15958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9F0F7-8CA2-4620-8940-92BEE036B240}"/>
</file>

<file path=customXml/itemProps2.xml><?xml version="1.0" encoding="utf-8"?>
<ds:datastoreItem xmlns:ds="http://schemas.openxmlformats.org/officeDocument/2006/customXml" ds:itemID="{C507B419-7894-418C-B754-2986C340B364}"/>
</file>

<file path=customXml/itemProps3.xml><?xml version="1.0" encoding="utf-8"?>
<ds:datastoreItem xmlns:ds="http://schemas.openxmlformats.org/officeDocument/2006/customXml" ds:itemID="{D296407E-954C-4225-B7CC-26B8941ED229}"/>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2012-08-08T20:41:00Z</cp:lastPrinted>
  <dcterms:created xsi:type="dcterms:W3CDTF">2015-05-19T17:21:00Z</dcterms:created>
  <dcterms:modified xsi:type="dcterms:W3CDTF">2015-06-17T18:27:00Z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3332200</vt:r8>
  </property>
</Properties>
</file>